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CA5C" w14:textId="77777777" w:rsidR="005E456E" w:rsidRPr="00423889" w:rsidRDefault="003A648C" w:rsidP="005B3EA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ӘЛ - ФАРАБИ АТЫНДАҒЫ ҚАЗАҚ ҰЛТТЫҚ</w:t>
      </w:r>
      <w:r w:rsidRPr="00423889">
        <w:rPr>
          <w:rFonts w:ascii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УНИВЕРСИТЕТІ</w:t>
      </w:r>
    </w:p>
    <w:p w14:paraId="7F4230F1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Химия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химиялық</w:t>
      </w:r>
      <w:proofErr w:type="spellEnd"/>
      <w:r w:rsidRPr="006D482D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технология </w:t>
      </w:r>
      <w:proofErr w:type="spellStart"/>
      <w:r w:rsidRPr="006D482D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факультеті</w:t>
      </w:r>
      <w:proofErr w:type="spellEnd"/>
    </w:p>
    <w:p w14:paraId="295C81C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CEB0B8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химия, катализ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және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7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кафедрасы</w:t>
      </w:r>
      <w:proofErr w:type="spellEnd"/>
    </w:p>
    <w:p w14:paraId="402707C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46211D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152656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09F30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5BCDA4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90F09B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0F3D01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4823DA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383CD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26F197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31AB9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90E898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137EB2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2EAF3197" w14:textId="202176FA" w:rsidR="003A648C" w:rsidRPr="00423889" w:rsidRDefault="00327C0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C08">
        <w:rPr>
          <w:rFonts w:ascii="Times New Roman" w:hAnsi="Times New Roman" w:cs="Times New Roman"/>
          <w:b/>
          <w:color w:val="000000"/>
          <w:sz w:val="28"/>
          <w:szCs w:val="28"/>
        </w:rPr>
        <w:t>67562</w:t>
      </w:r>
      <w:r w:rsidRPr="00327C0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Мұнайөңдеудегі өндірістік катализі</w:t>
      </w:r>
    </w:p>
    <w:p w14:paraId="120E469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пәні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бойынша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қорытынды</w:t>
      </w:r>
      <w:proofErr w:type="spellEnd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t>бағдарламасы</w:t>
      </w:r>
      <w:proofErr w:type="spellEnd"/>
    </w:p>
    <w:p w14:paraId="48B62B4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A70D4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6B4FF0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 xml:space="preserve"> беру</w:t>
      </w:r>
      <w:r w:rsidRPr="004238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42388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A8D67C" w14:textId="13BB82C9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«</w:t>
      </w:r>
      <w:r w:rsidR="00327C08" w:rsidRPr="00ED5A6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8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/>
        </w:rPr>
        <w:t>D</w:t>
      </w:r>
      <w:r w:rsidR="00327C08" w:rsidRPr="00ED5A6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07101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-</w:t>
      </w:r>
      <w:r w:rsidR="00327C0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Мұнайх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имия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»</w:t>
      </w:r>
    </w:p>
    <w:p w14:paraId="40392133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ABB664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250DB2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2F4946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BEE0B7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63A71C0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B2AC252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526D8906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F2E7EB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C06D5A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22FEFF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04166B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2D3FC9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1F4E97D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AE251E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D2DF6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ED0E3F5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EC605AB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3DD45EE4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7492EB7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D91ECCF" w14:textId="77777777" w:rsidR="003A648C" w:rsidRPr="00423889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C1C3EBE" w14:textId="77777777" w:rsidR="00294C48" w:rsidRDefault="00294C48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1236A23C" w14:textId="27D39C34" w:rsidR="003A648C" w:rsidRPr="003A648C" w:rsidRDefault="003A648C" w:rsidP="005B3EA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Алматы </w:t>
      </w:r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>202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3 ж.</w:t>
      </w:r>
    </w:p>
    <w:p w14:paraId="54FA93F7" w14:textId="1539D446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Қорытынды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187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8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бағдарламасы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64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физикалық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59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химия,</w:t>
      </w:r>
      <w:r w:rsidRPr="003A648C">
        <w:rPr>
          <w:rFonts w:ascii="Times New Roman" w:eastAsiaTheme="minorEastAsia" w:hAnsi="Times New Roman" w:cs="Times New Roman"/>
          <w:color w:val="000000"/>
          <w:spacing w:val="6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eastAsiaTheme="minorEastAsia" w:hAnsi="Times New Roman" w:cs="Times New Roman"/>
          <w:color w:val="000000"/>
          <w:spacing w:val="6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pacing w:val="246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профессоры х.ғ.д. Конысбаев С.</w:t>
      </w:r>
      <w:proofErr w:type="gramStart"/>
      <w:r w:rsidR="00633A2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Р.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құрастырған</w:t>
      </w:r>
      <w:proofErr w:type="spellEnd"/>
      <w:proofErr w:type="gram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2C0B3F1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6809027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D26FB7D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6B8AC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5809DF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Физикалық</w:t>
      </w:r>
      <w:proofErr w:type="spellEnd"/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химия,</w:t>
      </w:r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</w:rPr>
        <w:t>катализ</w:t>
      </w:r>
      <w:r w:rsidRPr="00423889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423889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мұнайхимия</w:t>
      </w:r>
      <w:proofErr w:type="spellEnd"/>
      <w:r w:rsidRPr="00423889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proofErr w:type="spellStart"/>
      <w:r w:rsidRPr="00423889">
        <w:rPr>
          <w:rFonts w:ascii="Times New Roman" w:hAnsi="Times New Roman" w:cs="Times New Roman"/>
          <w:color w:val="000000"/>
          <w:sz w:val="28"/>
          <w:szCs w:val="28"/>
        </w:rPr>
        <w:t>кафедрасының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отырысында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қарастырылды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және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бекітуге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ұсынылды</w:t>
      </w:r>
      <w:proofErr w:type="spellEnd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2389425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7F984EF7" w14:textId="77777777" w:rsidR="003A648C" w:rsidRPr="003A648C" w:rsidRDefault="003A648C" w:rsidP="009D4644">
      <w:pPr>
        <w:framePr w:w="380" w:wrap="auto" w:hAnchor="text" w:x="1772" w:y="4596"/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highlight w:val="yellow"/>
        </w:rPr>
      </w:pPr>
    </w:p>
    <w:p w14:paraId="111A5FE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«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06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»</w:t>
      </w:r>
      <w:r w:rsidRPr="002A7A69">
        <w:rPr>
          <w:rFonts w:ascii="Times New Roman" w:eastAsiaTheme="minorEastAsia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қ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азан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202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>3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ж</w:t>
      </w:r>
      <w:r w:rsidR="002A7A69"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хаттама</w:t>
      </w:r>
      <w:proofErr w:type="spellEnd"/>
      <w:r w:rsidRPr="002A7A6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2A7A69">
        <w:rPr>
          <w:rFonts w:ascii="Times New Roman" w:eastAsiaTheme="minorEastAsia" w:hAnsi="Times New Roman" w:cs="Times New Roman"/>
          <w:color w:val="000000"/>
          <w:sz w:val="28"/>
          <w:szCs w:val="28"/>
        </w:rPr>
        <w:t>№</w:t>
      </w:r>
      <w:r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 </w:t>
      </w:r>
      <w:r w:rsidR="002A7A69" w:rsidRPr="002A7A6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4</w:t>
      </w:r>
    </w:p>
    <w:p w14:paraId="3BDEED3A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723F93A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Кафедра</w:t>
      </w:r>
      <w:r w:rsidRPr="003A648C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меңгерушісі</w:t>
      </w:r>
      <w:proofErr w:type="spellEnd"/>
      <w:r w:rsidR="003B4C70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________________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Е.А. Аубакиров</w:t>
      </w:r>
    </w:p>
    <w:p w14:paraId="0C102F62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63F6819D" w14:textId="77777777" w:rsidR="003A648C" w:rsidRPr="00423889" w:rsidRDefault="003A648C" w:rsidP="009D4644">
      <w:pPr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br w:type="page"/>
      </w:r>
    </w:p>
    <w:p w14:paraId="02D75B06" w14:textId="77777777" w:rsidR="003A648C" w:rsidRPr="00423889" w:rsidRDefault="003A648C" w:rsidP="00727D3E">
      <w:pPr>
        <w:widowControl w:val="0"/>
        <w:autoSpaceDE w:val="0"/>
        <w:autoSpaceDN w:val="0"/>
        <w:spacing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2388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Кіріспе</w:t>
      </w:r>
      <w:proofErr w:type="spellEnd"/>
    </w:p>
    <w:p w14:paraId="1ACBB9BE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4A16939" w14:textId="75F5BFBD" w:rsidR="003A648C" w:rsidRPr="00294C48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форматы:</w:t>
      </w:r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стандартты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,</w:t>
      </w:r>
      <w:r w:rsid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ауызша</w:t>
      </w:r>
    </w:p>
    <w:p w14:paraId="0F4E66DC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платформасы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  <w:lang w:val="en-US"/>
        </w:rPr>
        <w:t>Univer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АЖ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DCCAD69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түрі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— офлайн</w:t>
      </w: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</w:p>
    <w:p w14:paraId="4025646B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өтуді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бақылау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бейнекөріністің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болуы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немесе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оқытушы</w:t>
      </w:r>
      <w:proofErr w:type="spellEnd"/>
      <w:r w:rsidRPr="003A648C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14:paraId="758A3D73" w14:textId="77777777" w:rsidR="003A648C" w:rsidRPr="003A648C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</w:t>
      </w:r>
      <w:proofErr w:type="spellEnd"/>
      <w:r w:rsidRPr="00423889">
        <w:rPr>
          <w:rFonts w:ascii="Times New Roman" w:eastAsiaTheme="minorEastAsia" w:hAnsi="Times New Roman" w:cs="Times New Roman"/>
          <w:b/>
          <w:color w:val="000000"/>
          <w:spacing w:val="-1"/>
          <w:sz w:val="28"/>
          <w:szCs w:val="28"/>
        </w:rPr>
        <w:t xml:space="preserve">  </w:t>
      </w:r>
      <w:proofErr w:type="spellStart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ұзақтылығы</w:t>
      </w:r>
      <w:proofErr w:type="spellEnd"/>
      <w:proofErr w:type="gramEnd"/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  <w:r w:rsidRPr="00423889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423889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Pr="00423889">
        <w:rPr>
          <w:rFonts w:ascii="Times New Roman" w:eastAsiaTheme="minorEastAsia" w:hAnsi="Times New Roman" w:cs="Times New Roman"/>
          <w:color w:val="000000"/>
          <w:sz w:val="28"/>
          <w:szCs w:val="28"/>
        </w:rPr>
        <w:t>сағат</w:t>
      </w:r>
      <w:proofErr w:type="spellEnd"/>
    </w:p>
    <w:p w14:paraId="53646A26" w14:textId="77777777" w:rsidR="003A648C" w:rsidRPr="00423889" w:rsidRDefault="003A648C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14:paraId="4E4919EE" w14:textId="77777777" w:rsidR="003A648C" w:rsidRPr="003A648C" w:rsidRDefault="003A648C" w:rsidP="009D4644">
      <w:pPr>
        <w:widowControl w:val="0"/>
        <w:autoSpaceDE w:val="0"/>
        <w:autoSpaceDN w:val="0"/>
        <w:spacing w:after="0" w:line="266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Бұл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емтиханда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келесі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тақырыптар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қамтылады</w:t>
      </w:r>
      <w:proofErr w:type="spellEnd"/>
      <w:r w:rsidRPr="003A648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:</w:t>
      </w:r>
    </w:p>
    <w:p w14:paraId="4B729D3D" w14:textId="77777777" w:rsidR="00ED5A69" w:rsidRPr="00A44E35" w:rsidRDefault="00ED5A69" w:rsidP="00ED5A6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7071BE8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Мұнайды алдын ала өңдеудегі газ, туз және суды бөліп алатын технологиялардың негізінде жатқан шарттарды атап беріңіз. Мұнай эмульсилврының құрылысын және оны ыдыратын заңдылықтарға мінездеме беріңіз.</w:t>
      </w:r>
    </w:p>
    <w:p w14:paraId="36C65897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Мұнай өңдеу зауттарда алынатын фракцияларды атап оларға мінездеме беріңіз. Вакуумдық ректификация шикі заты менп алынатын фракция колданатын процесті атап мінедеме беріңіз.</w:t>
      </w:r>
    </w:p>
    <w:p w14:paraId="7241735E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Қышқыл газдарды табиғи газдан бқліп алатын әдісті атап, күкіртсутекті утилизациялау жолдарын талдап беріңіз.</w:t>
      </w:r>
    </w:p>
    <w:p w14:paraId="53F3C72C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Табиғи газдардан кондесатты бөліп алу техологиясына талдау жасап, конденсатты қолдану жолодарын Оралдағы «Конденсат» фирмасында қалай шешілген.</w:t>
      </w:r>
    </w:p>
    <w:p w14:paraId="4A2CBDB9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Кокс алу үшін қандай таскөмірлер қолданылады, Темиртаудағы коксохимилық батарейлері жүмыс істейтін негізіне мінездеме беріңіз.</w:t>
      </w:r>
    </w:p>
    <w:p w14:paraId="31773AC6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Коксохимиялық батарейлерден шығатын органикалық өнімдерді атап, кокс газдардың құрамын атап, синтез газдан алатын өнімтерге мінедеме беріңіз.</w:t>
      </w:r>
    </w:p>
    <w:p w14:paraId="46168C3B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Таскөмірді кокстағанда шығатын шикі бензол және таскөмір шәйырына мінедеме беріп, қолданатын салаларын атаңыз.</w:t>
      </w:r>
    </w:p>
    <w:p w14:paraId="6A0E8627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Күкіртсутекті әдістерін талдап беріп, «Тенгизшевройл» фирмасында элементі күкірті қалай қолданады.</w:t>
      </w:r>
    </w:p>
    <w:p w14:paraId="4A3D7463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Крекинг процесін реакция регенерация шартында жүргізітін технологиялық схеманы беріп соған талдау жасаңыз.</w:t>
      </w:r>
    </w:p>
    <w:p w14:paraId="32A6DB39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Риформинг процесінде қолданатын катализаторларды талдап беріп, шығатын өнімтердің топтық химиялық құрамдарын жазыңіз.</w:t>
      </w:r>
    </w:p>
    <w:p w14:paraId="4634EAB4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Гидротазарту катализаторларын талдап беріп, Қазақстандағы ғалымдарының осы салады жеңістіктерін атап беріңіз.</w:t>
      </w:r>
    </w:p>
    <w:p w14:paraId="771CE2CA" w14:textId="77777777" w:rsidR="00ED5A69" w:rsidRPr="00ED5A69" w:rsidRDefault="00ED5A69" w:rsidP="00ED5A69">
      <w:pPr>
        <w:pStyle w:val="a3"/>
        <w:numPr>
          <w:ilvl w:val="0"/>
          <w:numId w:val="11"/>
        </w:num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5A69">
        <w:rPr>
          <w:rFonts w:ascii="Times New Roman" w:hAnsi="Times New Roman" w:cs="Times New Roman"/>
          <w:sz w:val="28"/>
          <w:szCs w:val="28"/>
          <w:lang w:val="kk-KZ"/>
        </w:rPr>
        <w:t>Базалық жағар майлардың топтық химиялық құрамдарын атап, осы саладағы Казақстандағы жағдайға сипаттама жасаңыз.</w:t>
      </w:r>
    </w:p>
    <w:p w14:paraId="5ED581ED" w14:textId="77777777" w:rsidR="00633A2E" w:rsidRPr="00ED5A69" w:rsidRDefault="00633A2E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1013741" w14:textId="5BFB9D7C" w:rsidR="002A7A69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Емтихан өткізу ережелері</w:t>
      </w:r>
    </w:p>
    <w:p w14:paraId="26B16173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1B7B6122" w14:textId="77777777" w:rsidR="00294C48" w:rsidRPr="00294C48" w:rsidRDefault="00294C48" w:rsidP="00294C48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 w:rsidRPr="00294C48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Дайындыққа 15-20 минут, билеттің барлық сұрақтарына жауап беруге 15-20 минуттан ұсынылады.</w:t>
      </w:r>
    </w:p>
    <w:p w14:paraId="4210261A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0092838C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</w:pPr>
      <w:r w:rsidRPr="00F527C3">
        <w:rPr>
          <w:rFonts w:ascii="Times New Roman" w:eastAsiaTheme="minorEastAsia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>Тыйым салынады:</w:t>
      </w:r>
    </w:p>
    <w:p w14:paraId="0FCD4C02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1. Емтиханға білім алушыларға өзімен бірге қосалқы ақпараттар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пайдалануға.</w:t>
      </w:r>
    </w:p>
    <w:p w14:paraId="51E99A68" w14:textId="77777777" w:rsid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2. Басқа білім алушылармен және бөгде адамдармен сөйлесуге.</w:t>
      </w:r>
    </w:p>
    <w:p w14:paraId="09D5572C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3. Жауаптарда аты-жөні, тегі және/немесе өзге де сәйкестендіру жазбаларын жазуға.</w:t>
      </w:r>
    </w:p>
    <w:p w14:paraId="587DE470" w14:textId="77777777" w:rsidR="00F527C3" w:rsidRPr="00F527C3" w:rsidRDefault="00F527C3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p w14:paraId="70B17207" w14:textId="77777777" w:rsidR="003E03B4" w:rsidRPr="003E03B4" w:rsidRDefault="003E03B4" w:rsidP="009D4644">
      <w:pPr>
        <w:widowControl w:val="0"/>
        <w:autoSpaceDE w:val="0"/>
        <w:autoSpaceDN w:val="0"/>
        <w:spacing w:after="0" w:line="266" w:lineRule="exact"/>
        <w:ind w:firstLine="56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>Студентке</w:t>
      </w:r>
      <w:r w:rsidRPr="003E03B4">
        <w:rPr>
          <w:rFonts w:ascii="Times New Roman" w:eastAsiaTheme="minorEastAsia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3E03B4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t xml:space="preserve">арналған нұсқаулық </w:t>
      </w:r>
    </w:p>
    <w:p w14:paraId="62707279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Pr="00423889">
        <w:rPr>
          <w:rFonts w:ascii="Times New Roman" w:hAnsi="Times New Roman" w:cs="Times New Roman"/>
          <w:color w:val="000000"/>
          <w:spacing w:val="120"/>
          <w:sz w:val="28"/>
          <w:szCs w:val="28"/>
          <w:lang w:val="kk-KZ"/>
        </w:rPr>
        <w:t xml:space="preserve"> </w:t>
      </w: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 осы тармақтардың біреуін немесе бірнешеуін бұзған жағдайда емтихан жұмысының күшін жою туралы актісі толтырылады, пән үшін “F” (қанағаттанарлықсыз) бағасы қойылады.</w:t>
      </w:r>
    </w:p>
    <w:p w14:paraId="0EE4769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Егер білім алушы емтиханға келіп, билет бойынша жауап беруден бас тартса, емтихан тапсыру “F” бағасы ретінде бағаланады.</w:t>
      </w:r>
    </w:p>
    <w:p w14:paraId="6DA5F7C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3. Дәлелді себеп болмаған жағдайда емтиханға келмеу “F” бағасы ретінде бағаланады.</w:t>
      </w:r>
    </w:p>
    <w:p w14:paraId="1320BD8F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4. Емтиханда осы Ережені қайталап бұзғаны үшін білім алушы факультеттің Әдеп жөніндегі кеңесінің қарауына ұсынылады.</w:t>
      </w:r>
    </w:p>
    <w:p w14:paraId="6A14C614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Пән бойынша қорытынды баға емтихан өткізілгеннен кейін 1 ай ішінде, егер білім алушы қашықтықтан білім беру технологияларын қолдана отырып қорытынды бақылау жүргізуге арналған нұсқаулықтар және/немесе емтихандағы тәртіп ережелерін бұзған жағдайда: шпаргалкаларды (көмекші құралдарды),  ұялы телефондарды пайдалану, өзара сөйлесу және т.б. онда акті толтырылып, бақылау бейнекамералырынан алынған жазбалар негізінде жойылуы мүмкін. Актінің күші жойылуға шағымдануға және аппеляцияға жатпайды.</w:t>
      </w:r>
    </w:p>
    <w:p w14:paraId="39FFD0C5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23889">
        <w:rPr>
          <w:rFonts w:ascii="Times New Roman" w:hAnsi="Times New Roman" w:cs="Times New Roman"/>
          <w:color w:val="000000"/>
          <w:sz w:val="28"/>
          <w:szCs w:val="28"/>
          <w:lang w:val="kk-KZ"/>
        </w:rPr>
        <w:t>6. Емтихандардағы барлық тәртәп бұзушылықтар білім алушының транскриптіне еңгізіледі.</w:t>
      </w:r>
    </w:p>
    <w:p w14:paraId="25F8F7CD" w14:textId="77777777" w:rsidR="003E03B4" w:rsidRPr="00423889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5B472BF8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Бағалау</w:t>
      </w:r>
      <w:r w:rsidRPr="005B3EAE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саясаты</w:t>
      </w:r>
    </w:p>
    <w:p w14:paraId="546EA149" w14:textId="77777777" w:rsidR="003E03B4" w:rsidRPr="005B3EAE" w:rsidRDefault="003E03B4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32E3F58" w14:textId="77777777" w:rsidR="003E03B4" w:rsidRPr="005B3EAE" w:rsidRDefault="00423889" w:rsidP="009D4644">
      <w:pPr>
        <w:widowControl w:val="0"/>
        <w:autoSpaceDE w:val="0"/>
        <w:autoSpaceDN w:val="0"/>
        <w:spacing w:after="0" w:line="310" w:lineRule="exac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Билетте 3 тапсырма (сұрақ) болады. 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Әр т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апсырма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100 балмен</w:t>
      </w:r>
      <w:r w:rsidRPr="005B3EAE">
        <w:rPr>
          <w:rFonts w:ascii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бағаланады. 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Қорытынды нәтиже</w:t>
      </w:r>
      <w:r w:rsid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>сі</w:t>
      </w:r>
      <w:r w:rsidR="003E03B4"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билеттің</w:t>
      </w:r>
      <w:r w:rsidRPr="005B3EAE">
        <w:rPr>
          <w:rFonts w:ascii="Times New Roman" w:eastAsiaTheme="minorEastAsia" w:hAnsi="Times New Roman" w:cs="Times New Roman"/>
          <w:color w:val="000000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барлық сұрақтарының</w:t>
      </w:r>
      <w:r w:rsidRPr="005B3EAE">
        <w:rPr>
          <w:rFonts w:ascii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сомасы </w:t>
      </w:r>
      <w:r w:rsid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критерий санына бөлінгеніне тең</w:t>
      </w:r>
      <w:r w:rsidR="005B3EAE"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t>лады.</w:t>
      </w:r>
    </w:p>
    <w:p w14:paraId="1040D3EF" w14:textId="77777777" w:rsidR="00423889" w:rsidRPr="005B3EAE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20F3DCF" w14:textId="77777777" w:rsidR="00423889" w:rsidRPr="005B3EAE" w:rsidRDefault="00423889" w:rsidP="009D464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B3EAE">
        <w:rPr>
          <w:rFonts w:ascii="Times New Roman" w:hAnsi="Times New Roman" w:cs="Times New Roman"/>
          <w:color w:val="000000"/>
          <w:sz w:val="28"/>
          <w:szCs w:val="28"/>
          <w:lang w:val="kk-KZ"/>
        </w:rPr>
        <w:br w:type="page"/>
      </w:r>
    </w:p>
    <w:p w14:paraId="3DC2FAB4" w14:textId="77777777" w:rsidR="00423889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189052" w14:textId="77777777" w:rsidR="002E4BF4" w:rsidRPr="002E4BF4" w:rsidRDefault="002E4BF4" w:rsidP="002E4B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ҚОРЫТЫНДЫ БАҚЫЛАУДЫ КРИТЕРИАЛДЫ БАҒАЛАУ </w:t>
      </w:r>
      <w:r w:rsidRPr="002E4BF4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РУБРИКАТОРЫ</w:t>
      </w:r>
    </w:p>
    <w:p w14:paraId="55659E30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val="kk-KZ" w:eastAsia="zh-CN"/>
        </w:rPr>
      </w:pPr>
    </w:p>
    <w:tbl>
      <w:tblPr>
        <w:tblW w:w="158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4271"/>
        <w:gridCol w:w="2574"/>
        <w:gridCol w:w="2574"/>
        <w:gridCol w:w="2488"/>
        <w:gridCol w:w="1701"/>
        <w:gridCol w:w="1420"/>
        <w:gridCol w:w="10"/>
      </w:tblGrid>
      <w:tr w:rsidR="00C04FFF" w:rsidRPr="00C04FFF" w14:paraId="0F258749" w14:textId="77777777" w:rsidTr="004A0F57">
        <w:trPr>
          <w:cantSplit/>
          <w:trHeight w:hRule="exact" w:val="252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6726FC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</w:tc>
        <w:tc>
          <w:tcPr>
            <w:tcW w:w="427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7050D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5CC9A2CE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767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A5EF" w14:textId="77777777" w:rsidR="00C04FFF" w:rsidRPr="00C04FFF" w:rsidRDefault="00C04FFF" w:rsidP="009D4644">
            <w:pPr>
              <w:widowControl w:val="0"/>
              <w:tabs>
                <w:tab w:val="left" w:pos="5157"/>
                <w:tab w:val="left" w:pos="8063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 xml:space="preserve">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2"/>
                <w:sz w:val="18"/>
                <w:szCs w:val="18"/>
                <w:u w:val="single"/>
                <w:lang w:eastAsia="zh-CN"/>
              </w:rPr>
              <w:t>Д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е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u w:val="single"/>
                <w:lang w:eastAsia="zh-CN"/>
              </w:rPr>
              <w:t>ск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и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2"/>
                <w:sz w:val="18"/>
                <w:szCs w:val="18"/>
                <w:u w:val="single"/>
                <w:lang w:eastAsia="zh-CN"/>
              </w:rPr>
              <w:t>пт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>ор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val="kk-KZ" w:eastAsia="zh-CN"/>
              </w:rPr>
              <w:t xml:space="preserve">лар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u w:val="single"/>
                <w:lang w:eastAsia="zh-CN"/>
              </w:rPr>
              <w:tab/>
              <w:t xml:space="preserve">                                                                              </w:t>
            </w: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4"/>
                <w:sz w:val="18"/>
                <w:szCs w:val="18"/>
                <w:u w:val="single"/>
                <w:lang w:eastAsia="zh-CN"/>
              </w:rPr>
              <w:t xml:space="preserve"> </w:t>
            </w:r>
          </w:p>
        </w:tc>
      </w:tr>
      <w:tr w:rsidR="00C04FFF" w:rsidRPr="00C04FFF" w14:paraId="0167AD45" w14:textId="77777777" w:rsidTr="004A0F57">
        <w:trPr>
          <w:cantSplit/>
          <w:trHeight w:hRule="exact" w:val="25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2DC3BD9C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DC51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EDEC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4F61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2D2D7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31D6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9971376" w14:textId="77777777" w:rsidTr="004A0F57">
        <w:trPr>
          <w:gridAfter w:val="1"/>
          <w:wAfter w:w="10" w:type="dxa"/>
          <w:cantSplit/>
          <w:trHeight w:hRule="exact" w:val="315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016EF15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427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0560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2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FB65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27-30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57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0FC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21-26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88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9D1FF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4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15-20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E234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8-14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5F97B21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QOVFH+ArialMT" w:eastAsia="QOVFH+ArialMT" w:hAnsi="QOVFH+ArialMT" w:cs="QOVFH+ArialMT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</w:pPr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>0-7</w:t>
            </w:r>
            <w:proofErr w:type="gramEnd"/>
            <w:r w:rsidRPr="00C04FFF">
              <w:rPr>
                <w:rFonts w:ascii="VWXFY+ArialMT" w:eastAsia="VWXFY+ArialMT" w:hAnsi="VWXFY+ArialMT" w:cs="VWXFY+ArialMT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C88D7E0" w14:textId="77777777" w:rsidTr="004A0F57">
        <w:trPr>
          <w:gridAfter w:val="1"/>
          <w:wAfter w:w="10" w:type="dxa"/>
          <w:cantSplit/>
          <w:trHeight w:hRule="exact" w:val="4391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13D275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1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BE61AF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15A61502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0B0F1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710BE68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Курс теориясы мен </w:t>
            </w:r>
          </w:p>
          <w:p w14:paraId="48655FB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тұжырымдамаларын білу және түсіну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6CC32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«Өте жақсы» деген баға сұрақтың жан-жақты түсіндірмесі, әрбір қорытынды мен мәлімдеме үшін егжей-тегжейлі дәлелі бар, логикалық түрде құрастырылған және әзірленген тақырыптардан мысалдармен расталған жауап үшін қойылады.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481A4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«Жақсы» деген баға сұрақтың толық, бірақ толық емес қамтылуын, негізгі ережелердің қысқартылған аргументтерін қамтитын және материалды беру логикасы мен реттілігін бұзуға мүмкіндік беретін жауапқа қойылады.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Жауапта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стильдік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терминдерді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қолданбау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 xml:space="preserve">ы кедергі келтірмейді.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4493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«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Қанағаттанарлық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сы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билетте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қамтымаған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үстірт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дәлелдейтін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, б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аян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даудағы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композициялық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теңгерімсіздіктерге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баяндау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логикасы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реттілігін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бұзуға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жауапқа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қойылады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.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зірленген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жазбаларынан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мысалдармен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ойлары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көрсет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val="kk-KZ" w:eastAsia="zh-CN"/>
              </w:rPr>
              <w:t>ілмейді.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86A1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сұрақтарды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қамтымау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дәлелдеу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фактілік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сөздік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болжау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EB66B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Негізгі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ұғымдарды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теорияларды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білмеу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...;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өткізу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ережесін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  <w:tr w:rsidR="00C04FFF" w:rsidRPr="00C04FFF" w14:paraId="382E02B6" w14:textId="77777777" w:rsidTr="004A0F57">
        <w:trPr>
          <w:gridAfter w:val="1"/>
          <w:wAfter w:w="10" w:type="dxa"/>
          <w:cantSplit/>
          <w:trHeight w:hRule="exact" w:val="2710"/>
        </w:trPr>
        <w:tc>
          <w:tcPr>
            <w:tcW w:w="85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8CE7E45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2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34CF0B5D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05F3B0A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5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 xml:space="preserve"> балл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C9D2E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тапсырмаларға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қолдану</w:t>
            </w:r>
            <w:proofErr w:type="spellEnd"/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6D57C" w14:textId="77777777" w:rsidR="00C04FFF" w:rsidRPr="00C04FFF" w:rsidRDefault="00C04FFF" w:rsidP="009D4644">
            <w:pPr>
              <w:widowControl w:val="0"/>
              <w:tabs>
                <w:tab w:val="left" w:pos="1499"/>
                <w:tab w:val="left" w:pos="2102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егжей-тегжейлі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кейін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E5EB" w14:textId="77777777" w:rsidR="00C04FFF" w:rsidRPr="00C04FFF" w:rsidRDefault="00C04FFF" w:rsidP="009D4644">
            <w:pPr>
              <w:widowControl w:val="0"/>
              <w:tabs>
                <w:tab w:val="left" w:pos="1392"/>
                <w:tab w:val="left" w:pos="2229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Оқу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тапсырмасын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ішінара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мәселелерін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шешпей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сұраққа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беру; курс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бойынша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;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2331" w14:textId="77777777" w:rsidR="00C04FFF" w:rsidRPr="00C04FFF" w:rsidRDefault="00C04FFF" w:rsidP="009D4644">
            <w:pPr>
              <w:widowControl w:val="0"/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Материал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фрагменттелген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логикалық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дәйектілікті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бұза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отырып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семантикалық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дәлсіздіктерге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курстың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теориялық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білімі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val="kk-KZ" w:eastAsia="zh-CN"/>
              </w:rPr>
              <w:t>ү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стірт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қолданылады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3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7D8D4" w14:textId="77777777" w:rsidR="00C04FFF" w:rsidRPr="00C04FFF" w:rsidRDefault="00C04FFF" w:rsidP="009D4644">
            <w:pPr>
              <w:widowControl w:val="0"/>
              <w:tabs>
                <w:tab w:val="left" w:pos="2327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ұтымсыз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әдісі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немесе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жеткілікті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ойластырылмаған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жауап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жоспары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түрде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орындау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нормадан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асатын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кемшіліктер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дің болуы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ab/>
            </w:r>
          </w:p>
        </w:tc>
        <w:tc>
          <w:tcPr>
            <w:tcW w:w="14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6288A" w14:textId="77777777" w:rsidR="00C04FFF" w:rsidRPr="00C04FFF" w:rsidRDefault="00C04FFF" w:rsidP="009D4644">
            <w:pPr>
              <w:widowControl w:val="0"/>
              <w:tabs>
                <w:tab w:val="left" w:pos="892"/>
                <w:tab w:val="left" w:pos="2265"/>
              </w:tabs>
              <w:spacing w:after="0" w:line="240" w:lineRule="auto"/>
              <w:jc w:val="both"/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Тапсырмаларды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шешу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үшін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білімді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алгоритмдерді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қолдана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;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val="kk-KZ" w:eastAsia="zh-CN"/>
              </w:rPr>
              <w:t>нәтиже</w:t>
            </w:r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жасай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алмау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-1"/>
                <w:sz w:val="18"/>
                <w:szCs w:val="18"/>
                <w:lang w:eastAsia="zh-CN"/>
              </w:rPr>
              <w:t>.</w:t>
            </w:r>
          </w:p>
        </w:tc>
      </w:tr>
    </w:tbl>
    <w:p w14:paraId="582ACC05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  <w:sectPr w:rsidR="00C04FFF" w:rsidRPr="00C04FFF">
          <w:pgSz w:w="16838" w:h="11906" w:orient="landscape"/>
          <w:pgMar w:top="1291" w:right="825" w:bottom="850" w:left="571" w:header="0" w:footer="0" w:gutter="0"/>
          <w:cols w:space="708"/>
        </w:sectPr>
      </w:pPr>
    </w:p>
    <w:p w14:paraId="7CE1B5BA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bookmarkStart w:id="0" w:name="_page_59_0"/>
    </w:p>
    <w:tbl>
      <w:tblPr>
        <w:tblW w:w="153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521"/>
        <w:gridCol w:w="2190"/>
        <w:gridCol w:w="2190"/>
        <w:gridCol w:w="2472"/>
        <w:gridCol w:w="2170"/>
        <w:gridCol w:w="1931"/>
      </w:tblGrid>
      <w:tr w:rsidR="00C04FFF" w:rsidRPr="00C04FFF" w14:paraId="06C02D62" w14:textId="77777777" w:rsidTr="004A0F57">
        <w:trPr>
          <w:cantSplit/>
          <w:trHeight w:hRule="exact" w:val="258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A059F92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9FBF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  <w:p w14:paraId="39483808" w14:textId="77777777" w:rsidR="00C04FFF" w:rsidRPr="00C04FFF" w:rsidRDefault="00C04FFF" w:rsidP="009D4644">
            <w:pPr>
              <w:widowControl w:val="0"/>
              <w:spacing w:before="10" w:after="0" w:line="240" w:lineRule="auto"/>
              <w:ind w:left="103" w:right="-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Критер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ий/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а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лл</w:t>
            </w:r>
          </w:p>
          <w:p w14:paraId="229A55F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109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7E8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zh-CN"/>
              </w:rPr>
              <w:t>Д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е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eastAsia="zh-CN"/>
              </w:rPr>
              <w:t>ск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и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zh-CN"/>
              </w:rPr>
              <w:t>пт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ор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лар</w:t>
            </w:r>
          </w:p>
        </w:tc>
      </w:tr>
      <w:tr w:rsidR="00C04FFF" w:rsidRPr="00C04FFF" w14:paraId="11A39449" w14:textId="77777777" w:rsidTr="004A0F57">
        <w:trPr>
          <w:cantSplit/>
          <w:trHeight w:hRule="exact" w:val="264"/>
        </w:trPr>
        <w:tc>
          <w:tcPr>
            <w:tcW w:w="855" w:type="dxa"/>
            <w:tcBorders>
              <w:left w:val="single" w:sz="3" w:space="0" w:color="000000"/>
              <w:right w:val="single" w:sz="3" w:space="0" w:color="000000"/>
            </w:tcBorders>
            <w:shd w:val="clear" w:color="auto" w:fill="D9E2F3"/>
          </w:tcPr>
          <w:p w14:paraId="1599B36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35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ABF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80143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z w:val="18"/>
                <w:szCs w:val="18"/>
                <w:lang w:val="kk-KZ" w:eastAsia="zh-CN"/>
              </w:rPr>
              <w:t>Өте жақсы</w:t>
            </w:r>
          </w:p>
        </w:tc>
        <w:tc>
          <w:tcPr>
            <w:tcW w:w="219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3078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QOVFH+ArialMT" w:eastAsia="QOVFH+ArialMT" w:hAnsi="QOVFH+ArialMT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>Жа</w:t>
            </w: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3"/>
                <w:sz w:val="18"/>
                <w:szCs w:val="18"/>
                <w:lang w:val="kk-KZ" w:eastAsia="zh-CN"/>
              </w:rPr>
              <w:t xml:space="preserve">қсы </w:t>
            </w:r>
          </w:p>
        </w:tc>
        <w:tc>
          <w:tcPr>
            <w:tcW w:w="2472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1503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4"/>
                <w:sz w:val="18"/>
                <w:szCs w:val="18"/>
                <w:lang w:val="kk-KZ" w:eastAsia="zh-CN"/>
              </w:rPr>
              <w:t xml:space="preserve">Қанағаттанарлық 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725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Cambria" w:eastAsia="QOVFH+ArialMT" w:hAnsi="Cambria" w:cs="QOVFH+ArialMT"/>
                <w:b/>
                <w:bCs/>
                <w:color w:val="000000"/>
                <w:spacing w:val="-1"/>
                <w:sz w:val="18"/>
                <w:szCs w:val="18"/>
                <w:lang w:val="kk-KZ" w:eastAsia="zh-CN"/>
              </w:rPr>
              <w:t xml:space="preserve">Қанағаттанарлықсыз </w:t>
            </w:r>
          </w:p>
        </w:tc>
      </w:tr>
      <w:tr w:rsidR="00C04FFF" w:rsidRPr="00C04FFF" w14:paraId="5D3CE1FC" w14:textId="77777777" w:rsidTr="004A0F57">
        <w:trPr>
          <w:cantSplit/>
          <w:trHeight w:hRule="exact" w:val="241"/>
        </w:trPr>
        <w:tc>
          <w:tcPr>
            <w:tcW w:w="85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4B7C6BF7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35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CC73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634B" w14:textId="77777777" w:rsidR="00C04FFF" w:rsidRPr="00C04FFF" w:rsidRDefault="00C04FFF" w:rsidP="009D4644">
            <w:pPr>
              <w:widowControl w:val="0"/>
              <w:tabs>
                <w:tab w:val="left" w:pos="2349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90–100%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36-40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4167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70–89%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35-28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252F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50–69%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27-20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2D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25–49%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19-10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7C8BD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0–24% (</w:t>
            </w:r>
            <w:proofErr w:type="gramStart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0-9</w:t>
            </w:r>
            <w:proofErr w:type="gramEnd"/>
            <w:r w:rsidRPr="00C04FFF">
              <w:rPr>
                <w:rFonts w:ascii="Times New Roman" w:eastAsia="VWXFY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 балл)</w:t>
            </w:r>
          </w:p>
        </w:tc>
      </w:tr>
      <w:tr w:rsidR="00C04FFF" w:rsidRPr="00C04FFF" w14:paraId="14668872" w14:textId="77777777" w:rsidTr="004A0F57">
        <w:trPr>
          <w:cantSplit/>
          <w:trHeight w:hRule="exact" w:val="4003"/>
        </w:trPr>
        <w:tc>
          <w:tcPr>
            <w:tcW w:w="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</w:tcPr>
          <w:p w14:paraId="03B66CE6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 xml:space="preserve">3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сұрақ</w:t>
            </w:r>
          </w:p>
          <w:p w14:paraId="087C59B2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</w:pPr>
          </w:p>
          <w:p w14:paraId="2589C69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</w:pPr>
            <w:r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3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z w:val="18"/>
                <w:szCs w:val="18"/>
                <w:lang w:val="kk-KZ" w:eastAsia="zh-CN"/>
              </w:rPr>
              <w:t>0 балл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4B99E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08" w:right="5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Таңдалған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kk-KZ" w:eastAsia="zh-CN"/>
              </w:rPr>
              <w:t>ә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дістеменің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ұсынылған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тапсырмаға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қолданылуын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бағалау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алынған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нәтиженің</w:t>
            </w:r>
            <w:proofErr w:type="spellEnd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eastAsia="zh-CN"/>
              </w:rPr>
              <w:t>негіздемесі</w:t>
            </w:r>
            <w:proofErr w:type="spellEnd"/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1BAAA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ұстанымды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әдістеме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технологияны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дәйекті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қисынды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сауаттылық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тіл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нормаларын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сақтау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дұрыс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етпейтін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ұсынуда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1-2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(+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графикалық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деректер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арқылы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визуализациялау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).</w:t>
            </w:r>
          </w:p>
        </w:tc>
        <w:tc>
          <w:tcPr>
            <w:tcW w:w="2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2E48D" w14:textId="77777777" w:rsidR="00C04FFF" w:rsidRPr="00C04FFF" w:rsidRDefault="00C04FFF" w:rsidP="009D4644">
            <w:pPr>
              <w:widowControl w:val="0"/>
              <w:tabs>
                <w:tab w:val="left" w:pos="2152"/>
              </w:tabs>
              <w:spacing w:before="9" w:after="0" w:line="239" w:lineRule="auto"/>
              <w:ind w:left="110" w:right="4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материалды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пайдалануда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3-4</w:t>
            </w:r>
            <w:proofErr w:type="gram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дәлсіздікке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тұжырымдардағы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кішігірім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қателіктерге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жол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беріледі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бұл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тапсырманың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жақсы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жалпы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деңгейіне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әсер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етпейді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pacing w:val="1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4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B210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58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Негізделген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ғылыми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ережелердің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қолданылуы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туралы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нақты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нәтижесіз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стилистикалық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және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грамматикалық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бар,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сонымен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практикалық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шешімнің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нәтижелерін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өңдеуде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дәлдік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</w:p>
        </w:tc>
        <w:tc>
          <w:tcPr>
            <w:tcW w:w="2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9FC88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101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өрескел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қателіктермен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толық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емес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тұжырымдамалық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дәлелдер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нашар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9DCC1" w14:textId="77777777" w:rsidR="00C04FFF" w:rsidRPr="00C04FFF" w:rsidRDefault="00C04FFF" w:rsidP="009D4644">
            <w:pPr>
              <w:widowControl w:val="0"/>
              <w:spacing w:before="9" w:after="0" w:line="239" w:lineRule="auto"/>
              <w:ind w:left="110" w:right="67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Тапсырма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орындалмады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қойылған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сұрақтарға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жауаптар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жоқ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,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талдау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материалдары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құралдары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пайдаланылмады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Қорытынды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бақылау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жүргізу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қағидаларын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бұзу</w:t>
            </w:r>
            <w:proofErr w:type="spellEnd"/>
            <w:r w:rsidRPr="00C04FFF"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bookmarkEnd w:id="0"/>
    </w:tbl>
    <w:p w14:paraId="3C8D36F6" w14:textId="77777777" w:rsidR="00C04FFF" w:rsidRPr="00C04FFF" w:rsidRDefault="00C04FFF" w:rsidP="009D4644">
      <w:pPr>
        <w:spacing w:after="0" w:line="259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14:paraId="10824207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lang w:val="kk"/>
        </w:rPr>
      </w:pPr>
      <w:r w:rsidRPr="00C04FFF">
        <w:rPr>
          <w:rFonts w:ascii="Times New Roman" w:eastAsia="Times New Roman" w:hAnsi="Times New Roman" w:cs="Times New Roman"/>
          <w:b/>
          <w:bCs/>
          <w:color w:val="202124"/>
          <w:lang w:val="kk"/>
        </w:rPr>
        <w:t>Қорытынды баллды есептеу мысалы</w:t>
      </w:r>
    </w:p>
    <w:p w14:paraId="702BC508" w14:textId="77777777" w:rsidR="00C04FFF" w:rsidRPr="00C04FFF" w:rsidRDefault="00C04FFF" w:rsidP="009D4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"/>
        <w:gridCol w:w="1920"/>
        <w:gridCol w:w="1734"/>
        <w:gridCol w:w="2401"/>
        <w:gridCol w:w="2669"/>
        <w:gridCol w:w="2401"/>
        <w:gridCol w:w="2634"/>
      </w:tblGrid>
      <w:tr w:rsidR="00C04FFF" w:rsidRPr="00C04FFF" w14:paraId="058B0344" w14:textId="77777777" w:rsidTr="004A0F57">
        <w:trPr>
          <w:trHeight w:val="415"/>
          <w:jc w:val="center"/>
        </w:trPr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2B07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919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67648" wp14:editId="1D148FA3">
                      <wp:simplePos x="0" y="0"/>
                      <wp:positionH relativeFrom="column">
                        <wp:posOffset>-12645</wp:posOffset>
                      </wp:positionH>
                      <wp:positionV relativeFrom="paragraph">
                        <wp:posOffset>10326</wp:posOffset>
                      </wp:positionV>
                      <wp:extent cx="1242392" cy="636104"/>
                      <wp:effectExtent l="0" t="0" r="34290" b="31115"/>
                      <wp:wrapNone/>
                      <wp:docPr id="123395707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2392" cy="63610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5CBE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.8pt" to="96.8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 Балл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34FB3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A144E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DD931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070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4896B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 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  <w:p w14:paraId="1DA8AE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2837E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17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6579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Қанағаттанарлықсыз</w:t>
            </w:r>
            <w:proofErr w:type="spellEnd"/>
            <w:r w:rsidRPr="00C0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C04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C04FFF" w:rsidRPr="00C04FFF" w14:paraId="40518795" w14:textId="77777777" w:rsidTr="004A0F57">
        <w:trPr>
          <w:trHeight w:val="405"/>
          <w:jc w:val="center"/>
        </w:trPr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08FF2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14A07" w14:textId="77777777" w:rsidR="00C04FFF" w:rsidRPr="00C04FFF" w:rsidRDefault="00C04FFF" w:rsidP="009D4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1B46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90-100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1ABC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70-89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8CB0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50-69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A10F6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25-49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7B54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0-24</w:t>
            </w:r>
            <w:proofErr w:type="gramEnd"/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C04FFF" w:rsidRPr="00C04FFF" w14:paraId="2C69E437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B3A78" w14:textId="77777777" w:rsidR="00C04FFF" w:rsidRPr="00C04FFF" w:rsidRDefault="00C04FFF" w:rsidP="009D4644">
            <w:pPr>
              <w:numPr>
                <w:ilvl w:val="0"/>
                <w:numId w:val="1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ED12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BA569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55C8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A6C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30CB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6C1B8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161225BF" w14:textId="77777777" w:rsidTr="004A0F57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4CC59" w14:textId="77777777" w:rsidR="00C04FFF" w:rsidRPr="00C04FFF" w:rsidRDefault="00C04FFF" w:rsidP="009D4644">
            <w:pPr>
              <w:numPr>
                <w:ilvl w:val="0"/>
                <w:numId w:val="2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05F4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5404D4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A114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5CFF3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75A2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91D9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768320E4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ED7B8" w14:textId="77777777" w:rsidR="00C04FFF" w:rsidRPr="00C04FFF" w:rsidRDefault="00C04FFF" w:rsidP="009D4644">
            <w:pPr>
              <w:numPr>
                <w:ilvl w:val="0"/>
                <w:numId w:val="3"/>
              </w:numPr>
              <w:spacing w:after="0" w:line="240" w:lineRule="auto"/>
              <w:ind w:left="-436" w:firstLine="70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684AF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D1B6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1BCC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4D1A6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BAA97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C422A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04FFF" w:rsidRPr="00C04FFF" w14:paraId="3110370E" w14:textId="77777777" w:rsidTr="00C04FFF">
        <w:trPr>
          <w:trHeight w:val="285"/>
          <w:jc w:val="center"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1D0A7" w14:textId="77777777" w:rsidR="00C04FFF" w:rsidRPr="00C04FFF" w:rsidRDefault="00C04FFF" w:rsidP="009D4644">
            <w:pPr>
              <w:spacing w:after="0" w:line="240" w:lineRule="auto"/>
              <w:ind w:left="-43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E5A08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0A3B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4C5BE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C04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30150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6142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0F2D6D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00+ 75 +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04F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E4E76C1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32EA0E2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 / 3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й5а</w:t>
            </w:r>
            <w:r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83,3</w:t>
            </w: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DEBE9C" w14:textId="77777777" w:rsidR="00C04FFF" w:rsidRPr="00C04FFF" w:rsidRDefault="00C04FFF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24375EF" w14:textId="77777777" w:rsidR="00C04FFF" w:rsidRPr="00C04FFF" w:rsidRDefault="009D4644" w:rsidP="009D464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Қорытынды балл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  <w:r w:rsidR="00C04FFF" w:rsidRP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= </w:t>
            </w:r>
            <w:r w:rsidR="00C04F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  <w:r w:rsidR="00C04FFF" w:rsidRPr="00C04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61CD6C5" w14:textId="77777777" w:rsidR="00423889" w:rsidRPr="00C04FFF" w:rsidRDefault="00423889" w:rsidP="009D4644">
      <w:pPr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sectPr w:rsidR="00423889" w:rsidRPr="00C04FFF" w:rsidSect="004238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42388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  <w:br w:type="page"/>
      </w:r>
    </w:p>
    <w:p w14:paraId="2B6836BC" w14:textId="77777777" w:rsidR="00423889" w:rsidRPr="003E4FA0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Қолданылатын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әдебиеттер</w:t>
      </w:r>
      <w:proofErr w:type="spellEnd"/>
      <w:r w:rsidRPr="003E4FA0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proofErr w:type="spellStart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тізімі</w:t>
      </w:r>
      <w:proofErr w:type="spellEnd"/>
      <w:r w:rsidRPr="003E4FA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80884BD" w14:textId="77777777" w:rsidR="00423889" w:rsidRPr="00423889" w:rsidRDefault="00423889" w:rsidP="009D4644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48700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Вержичинская С.В., Дигуров Н.Г., Синицин С.А. Химия и технология нефти и газа.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ФОРУМ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12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. 40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</w:p>
    <w:p w14:paraId="2DFF0F51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переработки нефти. Часть 1. Первичная переработка нефти. М.: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2012, 456с. </w:t>
      </w:r>
    </w:p>
    <w:p w14:paraId="2CFB6E8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Гуреев А.А. Технология переработки нефти. Часть 2. Физико-химические процессы. – М.: Химия, 2015, 400с.</w:t>
      </w:r>
    </w:p>
    <w:p w14:paraId="44CC9559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Тонконогов Б.П., Фукс И.Г. Часть 3. Производство нефтяных смазочных материалов. – М.: Химия, 2014, 328с.</w:t>
      </w:r>
    </w:p>
    <w:p w14:paraId="778A62C7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, Рудин М.Г. Химия и технология переработки нефти. – М.: Химия, 2013, 496с.</w:t>
      </w:r>
    </w:p>
    <w:p w14:paraId="12FC5845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Капустин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В.М.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Технология производства автомобильных бензинов. – М.: Химия, 2015, 256с.</w:t>
      </w:r>
    </w:p>
    <w:p w14:paraId="75D2F8CC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Ахметов С.А. Технологии глубокой переработки нефти и газа. Уфа, Гилем, 2002. 672с.</w:t>
      </w:r>
    </w:p>
    <w:p w14:paraId="399FB0FB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Хаджиев </w:t>
      </w:r>
      <w:proofErr w:type="gram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С.Н.</w:t>
      </w:r>
      <w:proofErr w:type="gram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Шпирт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М.Я. Микроэлементы в нефтях и продуктах их переработки. – М.: Наука, 2012, 222с.</w:t>
      </w:r>
    </w:p>
    <w:p w14:paraId="3E55653A" w14:textId="77777777" w:rsidR="00294C48" w:rsidRPr="00294C48" w:rsidRDefault="00294C48" w:rsidP="00294C48">
      <w:pPr>
        <w:widowControl w:val="0"/>
        <w:numPr>
          <w:ilvl w:val="0"/>
          <w:numId w:val="10"/>
        </w:numPr>
        <w:autoSpaceDE w:val="0"/>
        <w:autoSpaceDN w:val="0"/>
        <w:spacing w:after="0" w:line="2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>Леффлер</w:t>
      </w:r>
      <w:proofErr w:type="spellEnd"/>
      <w:r w:rsidRPr="00294C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У.Л. Переработка нефти. Пер. с англ. М.: ЗАО «Олимп-Бизнес», 2001. 223с.</w:t>
      </w:r>
    </w:p>
    <w:p w14:paraId="030E24CD" w14:textId="77777777" w:rsidR="00423889" w:rsidRPr="00423889" w:rsidRDefault="00423889" w:rsidP="003E4FA0">
      <w:pPr>
        <w:widowControl w:val="0"/>
        <w:autoSpaceDE w:val="0"/>
        <w:autoSpaceDN w:val="0"/>
        <w:spacing w:after="0" w:line="222" w:lineRule="exact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kk-KZ"/>
        </w:rPr>
      </w:pPr>
    </w:p>
    <w:sectPr w:rsidR="00423889" w:rsidRPr="0042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97C"/>
    <w:multiLevelType w:val="multilevel"/>
    <w:tmpl w:val="5536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B4828"/>
    <w:multiLevelType w:val="hybridMultilevel"/>
    <w:tmpl w:val="F25C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20F"/>
    <w:multiLevelType w:val="multilevel"/>
    <w:tmpl w:val="B3C4D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24246"/>
    <w:multiLevelType w:val="hybridMultilevel"/>
    <w:tmpl w:val="5A167166"/>
    <w:lvl w:ilvl="0" w:tplc="A63E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F0051"/>
    <w:multiLevelType w:val="multilevel"/>
    <w:tmpl w:val="975C0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7146F"/>
    <w:multiLevelType w:val="hybridMultilevel"/>
    <w:tmpl w:val="D6446DC8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4FD55775"/>
    <w:multiLevelType w:val="multilevel"/>
    <w:tmpl w:val="E33AD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010B57"/>
    <w:multiLevelType w:val="hybridMultilevel"/>
    <w:tmpl w:val="9272C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45CEF"/>
    <w:multiLevelType w:val="multilevel"/>
    <w:tmpl w:val="F1A01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C37C10"/>
    <w:multiLevelType w:val="multilevel"/>
    <w:tmpl w:val="739A4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213478">
    <w:abstractNumId w:val="0"/>
  </w:num>
  <w:num w:numId="2" w16cid:durableId="1171456601">
    <w:abstractNumId w:val="4"/>
  </w:num>
  <w:num w:numId="3" w16cid:durableId="926158897">
    <w:abstractNumId w:val="6"/>
  </w:num>
  <w:num w:numId="4" w16cid:durableId="670061154">
    <w:abstractNumId w:val="10"/>
  </w:num>
  <w:num w:numId="5" w16cid:durableId="826702510">
    <w:abstractNumId w:val="9"/>
  </w:num>
  <w:num w:numId="6" w16cid:durableId="1845634013">
    <w:abstractNumId w:val="2"/>
  </w:num>
  <w:num w:numId="7" w16cid:durableId="154809809">
    <w:abstractNumId w:val="3"/>
  </w:num>
  <w:num w:numId="8" w16cid:durableId="676540007">
    <w:abstractNumId w:val="7"/>
  </w:num>
  <w:num w:numId="9" w16cid:durableId="1718049926">
    <w:abstractNumId w:val="1"/>
  </w:num>
  <w:num w:numId="10" w16cid:durableId="769816573">
    <w:abstractNumId w:val="8"/>
  </w:num>
  <w:num w:numId="11" w16cid:durableId="996882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48C"/>
    <w:rsid w:val="00291ABE"/>
    <w:rsid w:val="00294C48"/>
    <w:rsid w:val="002A70AB"/>
    <w:rsid w:val="002A7A69"/>
    <w:rsid w:val="002E4BF4"/>
    <w:rsid w:val="00327C08"/>
    <w:rsid w:val="003A3ADA"/>
    <w:rsid w:val="003A648C"/>
    <w:rsid w:val="003B4C70"/>
    <w:rsid w:val="003E03B4"/>
    <w:rsid w:val="003E4FA0"/>
    <w:rsid w:val="00423889"/>
    <w:rsid w:val="005B3EAE"/>
    <w:rsid w:val="005E456E"/>
    <w:rsid w:val="00633A2E"/>
    <w:rsid w:val="006D482D"/>
    <w:rsid w:val="0070436F"/>
    <w:rsid w:val="00727D3E"/>
    <w:rsid w:val="007833F4"/>
    <w:rsid w:val="009D4644"/>
    <w:rsid w:val="00B00143"/>
    <w:rsid w:val="00B51E4F"/>
    <w:rsid w:val="00C04FFF"/>
    <w:rsid w:val="00E41091"/>
    <w:rsid w:val="00ED5A69"/>
    <w:rsid w:val="00F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A17D"/>
  <w15:docId w15:val="{3AD5B15C-4BFD-455A-9AFF-17FCF943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22C3-C0E4-4FB7-A470-1D2DAA8B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Sterin Sterin</cp:lastModifiedBy>
  <cp:revision>4</cp:revision>
  <dcterms:created xsi:type="dcterms:W3CDTF">2023-11-08T11:50:00Z</dcterms:created>
  <dcterms:modified xsi:type="dcterms:W3CDTF">2023-11-16T10:16:00Z</dcterms:modified>
</cp:coreProperties>
</file>